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646F" w14:textId="63983674" w:rsidR="006A5C37" w:rsidRDefault="00817B38">
      <w:r>
        <w:t xml:space="preserve">Note – at the time this manuscript was developed in 2018, study specific review documentation was not required. </w:t>
      </w:r>
    </w:p>
    <w:sectPr w:rsidR="006A5C37" w:rsidSect="0026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38"/>
    <w:rsid w:val="002604A1"/>
    <w:rsid w:val="006A5C37"/>
    <w:rsid w:val="0081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46DE5"/>
  <w15:chartTrackingRefBased/>
  <w15:docId w15:val="{EFA29C3E-D422-5249-9700-2E5634BC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Purnell</dc:creator>
  <cp:keywords/>
  <dc:description/>
  <cp:lastModifiedBy>Jennifer Purnell</cp:lastModifiedBy>
  <cp:revision>1</cp:revision>
  <dcterms:created xsi:type="dcterms:W3CDTF">2020-05-06T16:47:00Z</dcterms:created>
  <dcterms:modified xsi:type="dcterms:W3CDTF">2020-05-06T16:48:00Z</dcterms:modified>
</cp:coreProperties>
</file>